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B5B" w14:textId="77777777" w:rsidR="00952894" w:rsidRDefault="002C7FB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F2423E" wp14:editId="15E40018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1267855" cy="9382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855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89E6B2" w14:textId="77777777" w:rsidR="00952894" w:rsidRDefault="0095289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D63FCD4" w14:textId="77777777" w:rsidR="00952894" w:rsidRDefault="002C7FB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Barriers to EPL integration and Tips for Approaching Leadership</w:t>
      </w:r>
    </w:p>
    <w:p w14:paraId="6FE71366" w14:textId="77777777" w:rsidR="00952894" w:rsidRDefault="00952894">
      <w:pPr>
        <w:rPr>
          <w:rFonts w:ascii="Calibri" w:eastAsia="Calibri" w:hAnsi="Calibri" w:cs="Calibri"/>
          <w:b/>
        </w:rPr>
      </w:pPr>
    </w:p>
    <w:p w14:paraId="0EE02DB6" w14:textId="4797E101" w:rsidR="00952894" w:rsidRDefault="002C7F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Barriers to EPL integration</w:t>
      </w:r>
    </w:p>
    <w:p w14:paraId="49466A1F" w14:textId="3494570E" w:rsidR="00952894" w:rsidRDefault="002C7F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TEAMM training</w:t>
      </w:r>
      <w:r w:rsidR="002C3606">
        <w:rPr>
          <w:rFonts w:ascii="Calibri" w:eastAsia="Calibri" w:hAnsi="Calibri" w:cs="Calibri"/>
        </w:rPr>
        <w:t xml:space="preserve"> participants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</w:rPr>
        <w:t xml:space="preserve"> barriers in terms of implementing and integrating comprehensive EPL management in their </w:t>
      </w:r>
      <w:r w:rsidR="003A2D3C">
        <w:rPr>
          <w:rFonts w:ascii="Calibri" w:eastAsia="Calibri" w:hAnsi="Calibri" w:cs="Calibri"/>
        </w:rPr>
        <w:t>site of practice</w:t>
      </w:r>
      <w:r w:rsidR="002C3606">
        <w:rPr>
          <w:rFonts w:ascii="Calibri" w:eastAsia="Calibri" w:hAnsi="Calibri" w:cs="Calibri"/>
        </w:rPr>
        <w:t xml:space="preserve"> that</w:t>
      </w:r>
      <w:bookmarkStart w:id="0" w:name="_GoBack"/>
      <w:bookmarkEnd w:id="0"/>
      <w:r>
        <w:rPr>
          <w:rFonts w:ascii="Calibri" w:eastAsia="Calibri" w:hAnsi="Calibri" w:cs="Calibri"/>
        </w:rPr>
        <w:t xml:space="preserve"> include resist</w:t>
      </w:r>
      <w:r w:rsidR="003A2D3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nce from ad</w:t>
      </w:r>
      <w:r w:rsidR="003A2D3C">
        <w:rPr>
          <w:rFonts w:ascii="Calibri" w:eastAsia="Calibri" w:hAnsi="Calibri" w:cs="Calibri"/>
        </w:rPr>
        <w:t>ministration</w:t>
      </w:r>
      <w:r>
        <w:rPr>
          <w:rFonts w:ascii="Calibri" w:eastAsia="Calibri" w:hAnsi="Calibri" w:cs="Calibri"/>
        </w:rPr>
        <w:t>, colleagues, or staff; perceptions of EPL management</w:t>
      </w:r>
      <w:r>
        <w:rPr>
          <w:rFonts w:ascii="Calibri" w:eastAsia="Calibri" w:hAnsi="Calibri" w:cs="Calibri"/>
        </w:rPr>
        <w:t xml:space="preserve"> as induced abortion; and logistical barriers around resources, staffing, space, and clinic flow. APCs have additional hurdles, with a lack of training opportunities being one of the more prominent barriers to EPL management. </w:t>
      </w:r>
    </w:p>
    <w:p w14:paraId="2D61FA49" w14:textId="77777777" w:rsidR="00952894" w:rsidRDefault="00952894">
      <w:pPr>
        <w:rPr>
          <w:rFonts w:ascii="Calibri" w:eastAsia="Calibri" w:hAnsi="Calibri" w:cs="Calibri"/>
        </w:rPr>
      </w:pPr>
    </w:p>
    <w:p w14:paraId="22CB7FE3" w14:textId="77777777" w:rsidR="00952894" w:rsidRDefault="002C7F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Many of these barriers have </w:t>
      </w:r>
      <w:r>
        <w:rPr>
          <w:rFonts w:ascii="Calibri" w:eastAsia="Calibri" w:hAnsi="Calibri" w:cs="Calibri"/>
        </w:rPr>
        <w:t>been documented in the literature:</w:t>
      </w:r>
    </w:p>
    <w:p w14:paraId="73F5F83C" w14:textId="77777777" w:rsidR="00952894" w:rsidRDefault="002C7FB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Dennis A, Fuentes L, Douglas-Durham E, Grossman D.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Barriers and Facilitators to Moving Miscarriage Management out of the Operating Room</w:t>
        </w:r>
      </w:hyperlink>
      <w:r>
        <w:rPr>
          <w:rFonts w:ascii="Calibri" w:eastAsia="Calibri" w:hAnsi="Calibri" w:cs="Calibri"/>
        </w:rPr>
        <w:t>. Perspectives on Sexu</w:t>
      </w:r>
      <w:r>
        <w:rPr>
          <w:rFonts w:ascii="Calibri" w:eastAsia="Calibri" w:hAnsi="Calibri" w:cs="Calibri"/>
        </w:rPr>
        <w:t>al and Reproductive Health. 2015 Sep;47(3):141-9. DOI: 10.1363/47e4315</w:t>
      </w:r>
    </w:p>
    <w:p w14:paraId="3E410EA8" w14:textId="77777777" w:rsidR="00952894" w:rsidRDefault="002C7FBA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Darney</w:t>
      </w:r>
      <w:proofErr w:type="spellEnd"/>
      <w:r>
        <w:rPr>
          <w:rFonts w:ascii="Calibri" w:eastAsia="Calibri" w:hAnsi="Calibri" w:cs="Calibri"/>
        </w:rPr>
        <w:t xml:space="preserve"> B, Weaver M, </w:t>
      </w:r>
      <w:proofErr w:type="spellStart"/>
      <w:r>
        <w:rPr>
          <w:rFonts w:ascii="Calibri" w:eastAsia="Calibri" w:hAnsi="Calibri" w:cs="Calibri"/>
        </w:rPr>
        <w:t>VanDerhei</w:t>
      </w:r>
      <w:proofErr w:type="spellEnd"/>
      <w:r>
        <w:rPr>
          <w:rFonts w:ascii="Calibri" w:eastAsia="Calibri" w:hAnsi="Calibri" w:cs="Calibri"/>
        </w:rPr>
        <w:t xml:space="preserve"> D, Stevens N, Prager S.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“One of those areas that people avoid” a qualitative study</w:t>
        </w:r>
        <w:r>
          <w:rPr>
            <w:rFonts w:ascii="Calibri" w:eastAsia="Calibri" w:hAnsi="Calibri" w:cs="Calibri"/>
            <w:color w:val="1155CC"/>
            <w:u w:val="single"/>
          </w:rPr>
          <w:t xml:space="preserve"> of implementation in miscarriage management. BMC Health Services Research</w:t>
        </w:r>
      </w:hyperlink>
      <w:r>
        <w:rPr>
          <w:rFonts w:ascii="Calibri" w:eastAsia="Calibri" w:hAnsi="Calibri" w:cs="Calibri"/>
        </w:rPr>
        <w:t>. 2013; 13: 123.DOI: 10.1186/1472-6963-13-123</w:t>
      </w:r>
    </w:p>
    <w:p w14:paraId="60DC1C6B" w14:textId="77777777" w:rsidR="00952894" w:rsidRDefault="00952894">
      <w:pPr>
        <w:rPr>
          <w:rFonts w:ascii="Calibri" w:eastAsia="Calibri" w:hAnsi="Calibri" w:cs="Calibri"/>
        </w:rPr>
      </w:pPr>
    </w:p>
    <w:p w14:paraId="773B2975" w14:textId="77777777" w:rsidR="00952894" w:rsidRDefault="00952894">
      <w:pPr>
        <w:rPr>
          <w:rFonts w:ascii="Calibri" w:eastAsia="Calibri" w:hAnsi="Calibri" w:cs="Calibri"/>
        </w:rPr>
      </w:pPr>
    </w:p>
    <w:p w14:paraId="33B25F9F" w14:textId="77777777" w:rsidR="00952894" w:rsidRDefault="002C7FB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Approaching Leadership and of EPL Integration for APCs</w:t>
      </w:r>
    </w:p>
    <w:p w14:paraId="5D0B22D0" w14:textId="2381DFB3" w:rsidR="00952894" w:rsidRDefault="003A2D3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Points</w:t>
      </w:r>
      <w:r w:rsidR="002C7FBA">
        <w:rPr>
          <w:rFonts w:ascii="Calibri" w:eastAsia="Calibri" w:hAnsi="Calibri" w:cs="Calibri"/>
          <w:b/>
          <w:sz w:val="24"/>
          <w:szCs w:val="24"/>
        </w:rPr>
        <w:t xml:space="preserve"> to Convey:</w:t>
      </w:r>
    </w:p>
    <w:p w14:paraId="0F436D6B" w14:textId="77777777" w:rsidR="00952894" w:rsidRDefault="002C7FB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messages regarding service need/feasibility</w:t>
      </w:r>
    </w:p>
    <w:p w14:paraId="28C94BE8" w14:textId="77777777" w:rsidR="00952894" w:rsidRDefault="002C7FB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Miscarriage is </w:t>
      </w:r>
      <w:r>
        <w:rPr>
          <w:rFonts w:ascii="Calibri" w:eastAsia="Calibri" w:hAnsi="Calibri" w:cs="Calibri"/>
        </w:rPr>
        <w:t>common.</w:t>
      </w:r>
    </w:p>
    <w:p w14:paraId="4D71D94C" w14:textId="77777777" w:rsidR="00952894" w:rsidRDefault="002C7FBA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women with a known pregnancy, it is estimated that 1 in 4 will miscarry before the 12th week.</w:t>
      </w:r>
    </w:p>
    <w:p w14:paraId="23AA2688" w14:textId="77777777" w:rsidR="00952894" w:rsidRDefault="002C7FBA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Miscarriage affects 960,000 women annually.</w:t>
      </w:r>
    </w:p>
    <w:p w14:paraId="5194F4CA" w14:textId="77777777" w:rsidR="00952894" w:rsidRDefault="002C7FBA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Most occur before 13 </w:t>
      </w:r>
      <w:proofErr w:type="spellStart"/>
      <w:r>
        <w:rPr>
          <w:rFonts w:ascii="Calibri" w:eastAsia="Calibri" w:hAnsi="Calibri" w:cs="Calibri"/>
        </w:rPr>
        <w:t>weeks</w:t>
      </w:r>
      <w:proofErr w:type="spellEnd"/>
      <w:r>
        <w:rPr>
          <w:rFonts w:ascii="Calibri" w:eastAsia="Calibri" w:hAnsi="Calibri" w:cs="Calibri"/>
        </w:rPr>
        <w:t xml:space="preserve"> gestation.</w:t>
      </w:r>
    </w:p>
    <w:p w14:paraId="5A7FCADD" w14:textId="77777777" w:rsidR="00952894" w:rsidRDefault="002C7FB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Regulatory standards, who can provide:</w:t>
      </w:r>
    </w:p>
    <w:p w14:paraId="7396662F" w14:textId="77777777" w:rsidR="00952894" w:rsidRDefault="002C7FB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expectant management</w:t>
      </w:r>
    </w:p>
    <w:p w14:paraId="6BDB1A79" w14:textId="77777777" w:rsidR="00952894" w:rsidRDefault="002C7FB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medical m</w:t>
      </w:r>
      <w:r>
        <w:rPr>
          <w:rFonts w:ascii="Calibri" w:eastAsia="Calibri" w:hAnsi="Calibri" w:cs="Calibri"/>
        </w:rPr>
        <w:t>anagement</w:t>
      </w:r>
    </w:p>
    <w:p w14:paraId="4F938878" w14:textId="77777777" w:rsidR="00952894" w:rsidRDefault="002C7FB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surgical management</w:t>
      </w:r>
    </w:p>
    <w:p w14:paraId="69E74ED0" w14:textId="77777777" w:rsidR="00952894" w:rsidRDefault="002C7FB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APCs have the skills, follow-up capacity, and can provide improved patient experience in the clinic by offering continuity of care to their existing patients, from an Emergency Department or operating room. </w:t>
      </w:r>
    </w:p>
    <w:p w14:paraId="69C77EFD" w14:textId="77777777" w:rsidR="00952894" w:rsidRDefault="002C7FB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service is generally well reimbursed. </w:t>
      </w:r>
    </w:p>
    <w:p w14:paraId="255FB2A9" w14:textId="77777777" w:rsidR="00952894" w:rsidRDefault="00952894">
      <w:pPr>
        <w:rPr>
          <w:rFonts w:ascii="Calibri" w:eastAsia="Calibri" w:hAnsi="Calibri" w:cs="Calibri"/>
        </w:rPr>
      </w:pPr>
    </w:p>
    <w:p w14:paraId="6355D5CF" w14:textId="77777777" w:rsidR="00952894" w:rsidRDefault="00952894">
      <w:pPr>
        <w:rPr>
          <w:rFonts w:ascii="Calibri" w:eastAsia="Calibri" w:hAnsi="Calibri" w:cs="Calibri"/>
          <w:b/>
          <w:sz w:val="24"/>
          <w:szCs w:val="24"/>
        </w:rPr>
      </w:pPr>
    </w:p>
    <w:p w14:paraId="6EF84CEC" w14:textId="77777777" w:rsidR="00952894" w:rsidRDefault="00952894">
      <w:pPr>
        <w:rPr>
          <w:rFonts w:ascii="Calibri" w:eastAsia="Calibri" w:hAnsi="Calibri" w:cs="Calibri"/>
          <w:b/>
          <w:sz w:val="24"/>
          <w:szCs w:val="24"/>
        </w:rPr>
      </w:pPr>
    </w:p>
    <w:p w14:paraId="46ABFB0F" w14:textId="77777777" w:rsidR="00952894" w:rsidRDefault="00952894">
      <w:pPr>
        <w:rPr>
          <w:rFonts w:ascii="Calibri" w:eastAsia="Calibri" w:hAnsi="Calibri" w:cs="Calibri"/>
          <w:b/>
          <w:sz w:val="24"/>
          <w:szCs w:val="24"/>
        </w:rPr>
      </w:pPr>
    </w:p>
    <w:p w14:paraId="4ECB5C12" w14:textId="77777777" w:rsidR="00952894" w:rsidRDefault="002C7FB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Considerations for the Clinic/Hospital Leadership Team:</w:t>
      </w:r>
    </w:p>
    <w:p w14:paraId="6A97EE69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level of staff can provide which services in your state?</w:t>
      </w:r>
    </w:p>
    <w:p w14:paraId="61A2241C" w14:textId="7D8182EC" w:rsidR="00952894" w:rsidRDefault="002C7F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Physician</w:t>
      </w:r>
      <w:r w:rsidR="003A2D3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only laws?</w:t>
      </w:r>
    </w:p>
    <w:p w14:paraId="24502A94" w14:textId="77777777" w:rsidR="00952894" w:rsidRDefault="002C7F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Investigate facility licensure requirements (if applicable) for providing EPL care, specifically aspiration services</w:t>
      </w:r>
    </w:p>
    <w:p w14:paraId="327E3287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fees be the same for management of EPL as for induced abortion?</w:t>
      </w:r>
    </w:p>
    <w:p w14:paraId="2E6538D0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you begin the service in abortion-providing sites first or roll</w:t>
      </w:r>
      <w:r>
        <w:rPr>
          <w:rFonts w:ascii="Calibri" w:eastAsia="Calibri" w:hAnsi="Calibri" w:cs="Calibri"/>
        </w:rPr>
        <w:t>-out broadly?</w:t>
      </w:r>
    </w:p>
    <w:p w14:paraId="7C41603F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 equipment and supply needs</w:t>
      </w:r>
    </w:p>
    <w:p w14:paraId="7316452C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the need for expedient insurance verification be handled?</w:t>
      </w:r>
    </w:p>
    <w:p w14:paraId="3868A597" w14:textId="6C88A1D3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training may the staff need to work comfortably with EPL patients (particularly if they aren't providing induced ABs)?</w:t>
      </w:r>
      <w:r w:rsidR="003A2D3C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</w:rPr>
        <w:t xml:space="preserve"> they need tip</w:t>
      </w:r>
      <w:r>
        <w:rPr>
          <w:rFonts w:ascii="Calibri" w:eastAsia="Calibri" w:hAnsi="Calibri" w:cs="Calibri"/>
        </w:rPr>
        <w:t>s for communication? Are they concerned they are providing induced abortions while managing EPL?</w:t>
      </w:r>
    </w:p>
    <w:p w14:paraId="21A56E65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any staff new to ultrasound that will provide services? Plan early for ultrasound training needs and preceptorship?</w:t>
      </w:r>
    </w:p>
    <w:p w14:paraId="6288D8AE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lab fees for quantitative </w:t>
      </w:r>
      <w:proofErr w:type="spellStart"/>
      <w:r>
        <w:rPr>
          <w:rFonts w:ascii="Calibri" w:eastAsia="Calibri" w:hAnsi="Calibri" w:cs="Calibri"/>
        </w:rPr>
        <w:t>hCG</w:t>
      </w:r>
      <w:proofErr w:type="spellEnd"/>
      <w:r>
        <w:rPr>
          <w:rFonts w:ascii="Calibri" w:eastAsia="Calibri" w:hAnsi="Calibri" w:cs="Calibri"/>
        </w:rPr>
        <w:t xml:space="preserve"> reaso</w:t>
      </w:r>
      <w:r>
        <w:rPr>
          <w:rFonts w:ascii="Calibri" w:eastAsia="Calibri" w:hAnsi="Calibri" w:cs="Calibri"/>
        </w:rPr>
        <w:t>nable or should rates be re-negotiated (early pregnancy evaluation may increase the number of labs requisitioned)?</w:t>
      </w:r>
    </w:p>
    <w:p w14:paraId="36ED69B2" w14:textId="4DA181D3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</w:t>
      </w:r>
      <w:r w:rsidR="003A2D3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eferral lists up to date and accurate for prenatal care, genetic counseling, psychological support, and abortion care if not provided in</w:t>
      </w:r>
      <w:r>
        <w:rPr>
          <w:rFonts w:ascii="Calibri" w:eastAsia="Calibri" w:hAnsi="Calibri" w:cs="Calibri"/>
        </w:rPr>
        <w:t xml:space="preserve"> your location?</w:t>
      </w:r>
    </w:p>
    <w:p w14:paraId="4CFCAD60" w14:textId="77777777" w:rsidR="00952894" w:rsidRDefault="002C7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you market the service?</w:t>
      </w:r>
    </w:p>
    <w:p w14:paraId="1494224E" w14:textId="77777777" w:rsidR="00952894" w:rsidRDefault="002C7F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</w:t>
      </w:r>
    </w:p>
    <w:p w14:paraId="11F4C96E" w14:textId="77777777" w:rsidR="00952894" w:rsidRDefault="002C7F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relations</w:t>
      </w:r>
    </w:p>
    <w:p w14:paraId="76E03230" w14:textId="77777777" w:rsidR="00952894" w:rsidRDefault="002C7F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sectPr w:rsidR="009528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A69"/>
    <w:multiLevelType w:val="multilevel"/>
    <w:tmpl w:val="08028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A3926"/>
    <w:multiLevelType w:val="multilevel"/>
    <w:tmpl w:val="28B8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94"/>
    <w:rsid w:val="002C3606"/>
    <w:rsid w:val="002C7FBA"/>
    <w:rsid w:val="003A2D3C"/>
    <w:rsid w:val="009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EF110"/>
  <w15:docId w15:val="{DCE7C7E4-CA5A-5848-BBDA-16531580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3637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1538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L Magnusson</cp:lastModifiedBy>
  <cp:revision>2</cp:revision>
  <dcterms:created xsi:type="dcterms:W3CDTF">2019-11-14T01:23:00Z</dcterms:created>
  <dcterms:modified xsi:type="dcterms:W3CDTF">2019-11-14T01:23:00Z</dcterms:modified>
</cp:coreProperties>
</file>